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80E1E" w:rsidRPr="00880E1E" w:rsidTr="00880E1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E1E" w:rsidRPr="00880E1E" w:rsidRDefault="00880E1E" w:rsidP="00880E1E">
            <w:pPr>
              <w:spacing w:after="120" w:line="260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BỘ TÀI CHÍNH</w:t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E1E" w:rsidRPr="00880E1E" w:rsidRDefault="00880E1E" w:rsidP="00880E1E">
            <w:pPr>
              <w:spacing w:after="120" w:line="260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Độc</w:t>
            </w:r>
            <w:proofErr w:type="spellEnd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lập</w:t>
            </w:r>
            <w:proofErr w:type="spellEnd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Tự</w:t>
            </w:r>
            <w:proofErr w:type="spellEnd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do - </w:t>
            </w: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Hạnh</w:t>
            </w:r>
            <w:proofErr w:type="spellEnd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phúc</w:t>
            </w:r>
            <w:proofErr w:type="spellEnd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  <w:t>---------------</w:t>
            </w:r>
          </w:p>
        </w:tc>
      </w:tr>
      <w:tr w:rsidR="00880E1E" w:rsidRPr="00880E1E" w:rsidTr="00880E1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E1E" w:rsidRPr="00880E1E" w:rsidRDefault="00880E1E" w:rsidP="00880E1E">
            <w:pPr>
              <w:spacing w:after="120" w:line="260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 09/2015/TT-BTC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E1E" w:rsidRPr="00880E1E" w:rsidRDefault="00880E1E" w:rsidP="00880E1E">
            <w:pPr>
              <w:spacing w:after="120" w:line="260" w:lineRule="atLeast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Hà</w:t>
            </w:r>
            <w:proofErr w:type="spellEnd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Nội</w:t>
            </w:r>
            <w:proofErr w:type="spellEnd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29 </w:t>
            </w:r>
            <w:proofErr w:type="spellStart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01 </w:t>
            </w:r>
            <w:proofErr w:type="spellStart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880E1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THÔNG TƯ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HƯỚNG DẪN GIAO DỊCH TÀI CHÍNH CỦA DOANH NGHIỆP THEO QUY ĐỊNH TẠI ĐIỀU 6 NGHỊ ĐỊNH SỐ 222/2013/NĐ-CP NGÀY 31/12/2013 CỦA CHÍNH PHỦ VỀ THANH TOÁN BẰNG TIỀN MẶT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Căn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cứ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Nghị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số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215/2013/NĐ-CP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ngày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23/12/2013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phủ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năng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nhiệm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vụ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quyền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hạn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cơ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cấu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Bộ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Tài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;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Căn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cứ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Nghị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số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222/2013/NĐ-CP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ngày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31/12/2013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phủ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về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thanh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bằng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tiền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mặt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;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Theo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đề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nghị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Cục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trưởng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Cục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Tài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,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Bộ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trưởng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Bộ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Tài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ban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hành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Thông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tư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hướng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dẫn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tài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theo</w:t>
      </w:r>
      <w:proofErr w:type="spellEnd"/>
      <w:proofErr w:type="gram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tại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6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Nghị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số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222/2013/NĐ-CP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phủ</w:t>
      </w:r>
      <w:proofErr w:type="spellEnd"/>
      <w:r w:rsidRPr="00880E1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,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1. Phạm </w:t>
      </w:r>
      <w:proofErr w:type="gram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vi</w:t>
      </w:r>
      <w:proofErr w:type="gram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chỉnh</w:t>
      </w:r>
      <w:proofErr w:type="spellEnd"/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tư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này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hướng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dẫn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hình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trong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mua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chuyển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nhượng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phần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;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hình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phải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tín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dụng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trong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quan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hệ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trả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nợ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lẫn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nhau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trên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lãnh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thổ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Việt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Nam.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2.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Đối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tượng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áp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dụng</w:t>
      </w:r>
      <w:proofErr w:type="spellEnd"/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có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liên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quan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trong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quan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hệ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tại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1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tư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này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3.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Hình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thức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thanh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trong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mua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bán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chuyển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nhượng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phần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vào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khác</w:t>
      </w:r>
      <w:proofErr w:type="spellEnd"/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1.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sử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dụng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tiền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mặt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tiền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giấy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tiền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kim</w:t>
      </w:r>
      <w:proofErr w:type="spellEnd"/>
      <w:proofErr w:type="gram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loại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do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Ngân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hàng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nước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phát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hành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)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để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mua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chuyển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nhượng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phần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2.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mua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chuyển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nhượng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phần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sử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dụng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hình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sau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a) Thanh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bằng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b) Thanh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bằng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ủy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nhiệm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chi –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chuyển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tiền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c)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hình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sử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dụng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tiền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mặt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phù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hợp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theo</w:t>
      </w:r>
      <w:proofErr w:type="spellEnd"/>
      <w:proofErr w:type="gram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hành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3.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mua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chuyển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nhượng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phần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vốn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góp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bằng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tài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sản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phải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bằng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tiền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)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theo</w:t>
      </w:r>
      <w:proofErr w:type="spellEnd"/>
      <w:proofErr w:type="gram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pháp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luật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về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4.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Hình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thức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thanh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trong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cho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trả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nợ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lẫn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nhau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giữa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phải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là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tín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dụng</w:t>
      </w:r>
      <w:proofErr w:type="spellEnd"/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1.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phải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tín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dụng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thành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lập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hoạt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động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theo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Luật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tín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dụng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)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trả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nợ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lẫn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nhau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sử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dụng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hình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toán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được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tại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khoản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2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3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tư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này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2.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phải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tín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dụng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và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trả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nợ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vay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lẫn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nhau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bằng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tài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sản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phải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bằng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tiền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),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đối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trừ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nợ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chuyển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nghĩa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vụ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nợ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theo</w:t>
      </w:r>
      <w:proofErr w:type="spellEnd"/>
      <w:proofErr w:type="gram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pháp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luật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về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Điều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5.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Tổ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chức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hiện</w:t>
      </w:r>
      <w:proofErr w:type="spellEnd"/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1.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tư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này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có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hiệu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thi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hành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kể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từ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ngày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17/03/2015.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2.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Doanh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nghiệp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có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hành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gram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vi</w:t>
      </w:r>
      <w:proofErr w:type="gram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phạm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khi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các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giao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dịch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tài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tại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Thông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tư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này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sẽ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bị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xử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lý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theo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định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của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pháp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luật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hành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3.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Trong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quá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trình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thực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hiện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nếu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phát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sinh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vướng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mắc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đề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nghị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phản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ánh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về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Bộ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Tài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chính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để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xem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xét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giải</w:t>
      </w:r>
      <w:proofErr w:type="spell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quyết</w:t>
      </w:r>
      <w:proofErr w:type="spellEnd"/>
      <w:proofErr w:type="gramStart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./</w:t>
      </w:r>
      <w:proofErr w:type="gramEnd"/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880E1E" w:rsidRPr="00880E1E" w:rsidTr="00880E1E">
        <w:trPr>
          <w:tblCellSpacing w:w="0" w:type="dxa"/>
        </w:trPr>
        <w:tc>
          <w:tcPr>
            <w:tcW w:w="4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E1E" w:rsidRPr="00880E1E" w:rsidRDefault="00880E1E" w:rsidP="00880E1E">
            <w:pPr>
              <w:spacing w:after="120" w:line="26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880E1E" w:rsidRPr="00880E1E" w:rsidRDefault="00880E1E" w:rsidP="00880E1E">
            <w:pPr>
              <w:spacing w:after="120" w:line="26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Nơi</w:t>
            </w:r>
            <w:proofErr w:type="spellEnd"/>
            <w:r w:rsidRPr="00880E1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nhận</w:t>
            </w:r>
            <w:proofErr w:type="spellEnd"/>
            <w:r w:rsidRPr="00880E1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880E1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Văn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phòng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Chính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phủ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Văn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phòng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Trung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ương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và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các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ban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của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Đảng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Văn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phòng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Tổng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bí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thư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Văn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phòng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Quốc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hội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Văn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phòng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Chủ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tịch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nước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Ban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chỉ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đạo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Trung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ương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về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phòng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chống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tham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nhũng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Các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Bộ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cơ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quan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ngang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Bộ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Các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cơ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quan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thuộc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Chính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phủ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Cơ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quan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Trung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ương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của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các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đoàn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thể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Toà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án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nhân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dân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tối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cao;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Viện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Kiểm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sát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nhân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dân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tối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cao;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Kiểm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toán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Nhà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nước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Sở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Tài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chính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Cục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thuế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các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, TP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trực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thuộc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Trung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ương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bookmarkStart w:id="0" w:name="_GoBack"/>
            <w:bookmarkEnd w:id="0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Các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Tập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đoàn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kinh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tế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nhà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nước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Tổng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công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ty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nhà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nước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Cục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Kiểm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tra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văn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Bộ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Tư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pháp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Công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báo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Website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Chính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phủ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Các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đơn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vị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thuộc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Bộ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Tài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chính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Website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Bộ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Tài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chính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;</w:t>
            </w:r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Lưu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: VT, </w:t>
            </w:r>
            <w:proofErr w:type="spellStart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Cục</w:t>
            </w:r>
            <w:proofErr w:type="spellEnd"/>
            <w:r w:rsidRPr="00880E1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TCDN.</w:t>
            </w:r>
          </w:p>
        </w:tc>
        <w:tc>
          <w:tcPr>
            <w:tcW w:w="3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E1E" w:rsidRPr="00880E1E" w:rsidRDefault="00880E1E" w:rsidP="00880E1E">
            <w:pPr>
              <w:spacing w:after="120" w:line="260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KT. BỘ TRƯỞNG</w:t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  <w:t>THỨ TRƯỞNG</w:t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br/>
              <w:t xml:space="preserve">Trần </w:t>
            </w: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Văn</w:t>
            </w:r>
            <w:proofErr w:type="spellEnd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E1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Hiếu</w:t>
            </w:r>
            <w:proofErr w:type="spellEnd"/>
          </w:p>
        </w:tc>
      </w:tr>
    </w:tbl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880E1E" w:rsidRPr="00880E1E" w:rsidRDefault="00880E1E" w:rsidP="00880E1E">
      <w:pPr>
        <w:shd w:val="clear" w:color="auto" w:fill="FFFFFF"/>
        <w:spacing w:after="120" w:line="26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80E1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11F20" w:rsidRDefault="00F11F20"/>
    <w:sectPr w:rsidR="00F11F20" w:rsidSect="00880E1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1E"/>
    <w:rsid w:val="00880E1E"/>
    <w:rsid w:val="00F1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EE6A6-6389-4BC7-96CC-F1149AF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TienSi VoLam</dc:creator>
  <cp:keywords/>
  <dc:description/>
  <cp:lastModifiedBy>TienSi VoLam</cp:lastModifiedBy>
  <cp:revision>1</cp:revision>
  <dcterms:created xsi:type="dcterms:W3CDTF">2015-02-02T08:00:00Z</dcterms:created>
  <dcterms:modified xsi:type="dcterms:W3CDTF">2015-02-02T08:01:00Z</dcterms:modified>
</cp:coreProperties>
</file>